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outlineLvl w:val="0"/>
        <w:rPr>
          <w:rFonts w:ascii="黑体" w:cs="宋体"/>
          <w:b/>
          <w:color w:val="000000"/>
          <w:spacing w:val="6"/>
          <w:kern w:val="0"/>
          <w:sz w:val="32"/>
          <w:szCs w:val="32"/>
        </w:rPr>
      </w:pPr>
      <w:r>
        <w:rPr>
          <w:rFonts w:hint="eastAsia" w:ascii="黑体" w:cs="宋体"/>
          <w:b/>
          <w:color w:val="000000"/>
          <w:spacing w:val="6"/>
          <w:kern w:val="0"/>
          <w:sz w:val="32"/>
          <w:szCs w:val="32"/>
        </w:rPr>
        <w:t>金融学辅修专业学士学位教学计划</w:t>
      </w:r>
    </w:p>
    <w:p>
      <w:pPr>
        <w:adjustRightInd w:val="0"/>
        <w:snapToGrid w:val="0"/>
        <w:spacing w:afterLines="50"/>
        <w:jc w:val="center"/>
        <w:rPr>
          <w:rFonts w:ascii="宋体" w:hAnsi="宋体" w:eastAsia="华文行楷" w:cs="宋体"/>
          <w:b/>
          <w:color w:val="000000"/>
          <w:spacing w:val="-2"/>
          <w:kern w:val="0"/>
          <w:position w:val="8"/>
          <w:sz w:val="24"/>
        </w:rPr>
      </w:pPr>
    </w:p>
    <w:p>
      <w:pPr>
        <w:widowControl/>
        <w:spacing w:line="360" w:lineRule="auto"/>
        <w:jc w:val="left"/>
        <w:rPr>
          <w:rFonts w:ascii="Garamond" w:hAnsi="Garamond" w:cs="Garamond"/>
          <w:color w:val="000000"/>
          <w:spacing w:val="6"/>
          <w:kern w:val="0"/>
          <w:position w:val="8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主办院校：上海外国语大学</w:t>
      </w:r>
    </w:p>
    <w:p>
      <w:pPr>
        <w:widowControl/>
        <w:snapToGrid w:val="0"/>
        <w:spacing w:line="360" w:lineRule="auto"/>
        <w:ind w:left="1260" w:hanging="1260"/>
        <w:jc w:val="left"/>
        <w:rPr>
          <w:rFonts w:ascii="Garamond" w:hAnsi="Garamond" w:cs="Garamond"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教学目标：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上海外国语大学国际金融贸易学院根据国家发展需求，践行我校“多语种+”国际化人才培养战略，整合校内外教育资源，积极建设多语种金融人才培养项目。该计划旨在培养具有金融专业知识和业务实践技能，同时精通外语，具备国际视野，通晓国际规则，能参与国际竞争的国际企业及银行、证券、保险、基金等金融机构中的复合型金融管理人才。</w:t>
      </w:r>
    </w:p>
    <w:p>
      <w:pPr>
        <w:widowControl/>
        <w:snapToGrid w:val="0"/>
        <w:spacing w:line="360" w:lineRule="auto"/>
        <w:ind w:left="1260" w:firstLine="16"/>
        <w:jc w:val="left"/>
        <w:rPr>
          <w:rFonts w:ascii="Garamond" w:hAnsi="Garamond" w:cs="Garamond"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学习目标分两阶段。第一阶段为期两年，40学分，完成后获辅修第二专业证书。</w:t>
      </w:r>
    </w:p>
    <w:p>
      <w:pPr>
        <w:widowControl/>
        <w:snapToGrid w:val="0"/>
        <w:spacing w:line="360" w:lineRule="auto"/>
        <w:ind w:left="1260" w:firstLine="16"/>
        <w:jc w:val="left"/>
        <w:rPr>
          <w:rFonts w:ascii="Garamond" w:hAnsi="Garamond" w:cs="Garamond"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第二阶段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需修满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>20学分，学习对象为完成前两年辅修专业课程学习且主修专业属非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经济学专业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>的学生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。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>符合三年平均绩点达到2.0以上等条件可获得辅修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经济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>学学士学位证书。颁发学位证书的条件和具体办法按《上海松江大学园区辅修专业学士学位管理试行办法》执行。</w:t>
      </w:r>
    </w:p>
    <w:p>
      <w:pPr>
        <w:widowControl/>
        <w:snapToGrid w:val="0"/>
        <w:spacing w:line="360" w:lineRule="auto"/>
        <w:ind w:left="1260" w:hanging="1260"/>
        <w:jc w:val="left"/>
        <w:rPr>
          <w:rFonts w:ascii="Garamond" w:hAnsi="Garamond" w:cs="Garamond"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招生要求：</w:t>
      </w:r>
      <w:r>
        <w:rPr>
          <w:rFonts w:hint="eastAsia" w:ascii="宋体" w:hAnsi="宋体" w:cs="宋体"/>
          <w:color w:val="000000"/>
          <w:spacing w:val="6"/>
          <w:kern w:val="0"/>
          <w:sz w:val="24"/>
        </w:rPr>
        <w:t>招收本科在校完成一年级基础课程的外语专业学生。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>招生人数：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6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>0人</w:t>
      </w:r>
    </w:p>
    <w:p>
      <w:pPr>
        <w:widowControl/>
        <w:snapToGrid w:val="0"/>
        <w:spacing w:line="360" w:lineRule="auto"/>
        <w:ind w:left="1260" w:hanging="1260"/>
        <w:jc w:val="left"/>
        <w:rPr>
          <w:rFonts w:ascii="Garamond" w:hAnsi="Garamond" w:cs="Garamond"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授课时间：每周一、三晚上3学时，周五下午4学时。</w:t>
      </w:r>
    </w:p>
    <w:p>
      <w:pPr>
        <w:widowControl/>
        <w:snapToGrid w:val="0"/>
        <w:spacing w:line="360" w:lineRule="auto"/>
        <w:ind w:left="1260" w:hanging="1260"/>
        <w:jc w:val="left"/>
        <w:rPr>
          <w:rFonts w:ascii="Garamond" w:hAnsi="Garamond" w:cs="Garamond"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授课地点：上海外国语大学松江校区</w:t>
      </w:r>
    </w:p>
    <w:p>
      <w:pPr>
        <w:widowControl/>
        <w:snapToGrid w:val="0"/>
        <w:spacing w:line="360" w:lineRule="auto"/>
        <w:ind w:left="1260" w:hanging="1260"/>
        <w:jc w:val="left"/>
        <w:rPr>
          <w:rFonts w:ascii="Garamond" w:hAnsi="Garamond" w:cs="Garamond"/>
          <w:bCs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收费标准：</w:t>
      </w:r>
      <w:r>
        <w:rPr>
          <w:rFonts w:hint="eastAsia" w:ascii="Garamond" w:hAnsi="Garamond" w:cs="Garamond"/>
          <w:color w:val="000000"/>
          <w:spacing w:val="6"/>
          <w:kern w:val="0"/>
          <w:sz w:val="24"/>
        </w:rPr>
        <w:t>220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元/1学分</w:t>
      </w:r>
    </w:p>
    <w:p>
      <w:pPr>
        <w:snapToGrid w:val="0"/>
        <w:spacing w:line="360" w:lineRule="auto"/>
        <w:ind w:left="1260" w:hanging="1260"/>
        <w:rPr>
          <w:rFonts w:ascii="Garamond" w:hAnsi="Garamond" w:cs="Garamond"/>
          <w:bCs/>
          <w:color w:val="000000"/>
          <w:spacing w:val="6"/>
          <w:kern w:val="0"/>
          <w:sz w:val="24"/>
        </w:rPr>
      </w:pPr>
      <w:r>
        <w:rPr>
          <w:rFonts w:ascii="Garamond" w:hAnsi="Garamond" w:cs="Garamond"/>
          <w:color w:val="000000"/>
          <w:spacing w:val="6"/>
          <w:kern w:val="0"/>
          <w:sz w:val="24"/>
        </w:rPr>
        <w:t>网上查询</w:t>
      </w:r>
      <w:r>
        <w:rPr>
          <w:rFonts w:ascii="Garamond" w:hAnsi="Garamond" w:cs="Garamond"/>
          <w:color w:val="000000"/>
          <w:spacing w:val="6"/>
          <w:kern w:val="0"/>
          <w:sz w:val="24"/>
        </w:rPr>
        <w:tab/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教学计划、相关管理条例及招生录取工作可查询上海外国语大学教务处网站（网址：</w:t>
      </w:r>
      <w:r>
        <w:fldChar w:fldCharType="begin"/>
      </w:r>
      <w:r>
        <w:instrText xml:space="preserve"> HYPERLINK "http://ofd.shisu.edu.cn/" </w:instrText>
      </w:r>
      <w:r>
        <w:fldChar w:fldCharType="separate"/>
      </w:r>
      <w:r>
        <w:rPr>
          <w:rFonts w:ascii="Garamond" w:hAnsi="Garamond" w:cs="Garamond"/>
          <w:bCs/>
          <w:color w:val="000000"/>
          <w:kern w:val="0"/>
          <w:sz w:val="24"/>
        </w:rPr>
        <w:t>http://www.oaa.shisu.edu.cn</w:t>
      </w:r>
      <w:r>
        <w:rPr>
          <w:rFonts w:ascii="Garamond" w:hAnsi="Garamond" w:cs="Garamond"/>
          <w:bCs/>
          <w:color w:val="000000"/>
          <w:kern w:val="0"/>
          <w:sz w:val="24"/>
        </w:rPr>
        <w:fldChar w:fldCharType="end"/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）的</w:t>
      </w:r>
      <w:r>
        <w:rPr>
          <w:rFonts w:hint="eastAsia" w:ascii="Garamond" w:hAnsi="Garamond" w:cs="Garamond"/>
          <w:bCs/>
          <w:color w:val="000000"/>
          <w:spacing w:val="6"/>
          <w:kern w:val="0"/>
          <w:sz w:val="24"/>
        </w:rPr>
        <w:t>“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重要通知</w:t>
      </w:r>
      <w:r>
        <w:rPr>
          <w:rFonts w:hint="eastAsia" w:ascii="Garamond" w:hAnsi="Garamond" w:cs="Garamond"/>
          <w:bCs/>
          <w:color w:val="000000"/>
          <w:spacing w:val="6"/>
          <w:kern w:val="0"/>
          <w:sz w:val="24"/>
        </w:rPr>
        <w:t>”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和</w:t>
      </w:r>
      <w:r>
        <w:rPr>
          <w:rFonts w:hint="eastAsia" w:ascii="Garamond" w:hAnsi="Garamond" w:cs="Garamond"/>
          <w:bCs/>
          <w:color w:val="000000"/>
          <w:spacing w:val="6"/>
          <w:kern w:val="0"/>
          <w:sz w:val="24"/>
        </w:rPr>
        <w:t>“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人才培养</w:t>
      </w:r>
      <w:r>
        <w:rPr>
          <w:rFonts w:hint="eastAsia" w:ascii="Garamond" w:hAnsi="Garamond" w:cs="Garamond"/>
          <w:bCs/>
          <w:color w:val="000000"/>
          <w:spacing w:val="6"/>
          <w:kern w:val="0"/>
          <w:sz w:val="24"/>
        </w:rPr>
        <w:t>”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栏目下属的</w:t>
      </w:r>
      <w:r>
        <w:rPr>
          <w:rFonts w:hint="eastAsia" w:ascii="Garamond" w:hAnsi="Garamond" w:cs="Garamond"/>
          <w:bCs/>
          <w:color w:val="000000"/>
          <w:spacing w:val="6"/>
          <w:kern w:val="0"/>
          <w:sz w:val="24"/>
        </w:rPr>
        <w:t>“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辅修专业</w:t>
      </w:r>
      <w:r>
        <w:rPr>
          <w:rFonts w:hint="eastAsia" w:ascii="Garamond" w:hAnsi="Garamond" w:cs="Garamond"/>
          <w:bCs/>
          <w:color w:val="000000"/>
          <w:spacing w:val="6"/>
          <w:kern w:val="0"/>
          <w:sz w:val="24"/>
        </w:rPr>
        <w:t>”</w:t>
      </w:r>
      <w:r>
        <w:rPr>
          <w:rFonts w:ascii="Garamond" w:hAnsi="Garamond" w:cs="Garamond"/>
          <w:bCs/>
          <w:color w:val="000000"/>
          <w:spacing w:val="6"/>
          <w:kern w:val="0"/>
          <w:sz w:val="24"/>
        </w:rPr>
        <w:t>。</w:t>
      </w: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ascii="黑体" w:cs="宋体"/>
          <w:bCs/>
          <w:color w:val="000000"/>
          <w:spacing w:val="6"/>
          <w:kern w:val="0"/>
          <w:sz w:val="24"/>
        </w:rPr>
        <w:br w:type="page"/>
      </w:r>
      <w:r>
        <w:rPr>
          <w:rFonts w:hint="eastAsia" w:ascii="宋体"/>
          <w:b/>
          <w:sz w:val="30"/>
          <w:szCs w:val="30"/>
        </w:rPr>
        <w:t>教学计划</w:t>
      </w:r>
    </w:p>
    <w:tbl>
      <w:tblPr>
        <w:tblStyle w:val="3"/>
        <w:tblpPr w:leftFromText="180" w:rightFromText="180" w:vertAnchor="text" w:horzAnchor="margin" w:tblpX="-252" w:tblpY="158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434"/>
        <w:gridCol w:w="709"/>
        <w:gridCol w:w="567"/>
        <w:gridCol w:w="656"/>
        <w:gridCol w:w="499"/>
        <w:gridCol w:w="499"/>
        <w:gridCol w:w="499"/>
        <w:gridCol w:w="499"/>
        <w:gridCol w:w="499"/>
        <w:gridCol w:w="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序号</w:t>
            </w:r>
          </w:p>
        </w:tc>
        <w:tc>
          <w:tcPr>
            <w:tcW w:w="3434" w:type="dxa"/>
            <w:vMerge w:val="restart"/>
            <w:vAlign w:val="center"/>
          </w:tcPr>
          <w:p>
            <w:pPr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课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程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名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课程编号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学分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z w:val="24"/>
              </w:rPr>
            </w:pPr>
            <w:r>
              <w:rPr>
                <w:rFonts w:ascii="Garamond" w:eastAsia="黑体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时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各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学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期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周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学</w:t>
            </w:r>
            <w:r>
              <w:rPr>
                <w:rFonts w:ascii="Garamond" w:hAnsi="Garamond" w:eastAsia="黑体"/>
                <w:sz w:val="24"/>
              </w:rPr>
              <w:t xml:space="preserve"> </w:t>
            </w:r>
            <w:r>
              <w:rPr>
                <w:rFonts w:ascii="Garamond" w:eastAsia="黑体"/>
                <w:sz w:val="24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</w:p>
        </w:tc>
        <w:tc>
          <w:tcPr>
            <w:tcW w:w="34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</w:p>
        </w:tc>
        <w:tc>
          <w:tcPr>
            <w:tcW w:w="499" w:type="dxa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三</w:t>
            </w:r>
          </w:p>
        </w:tc>
        <w:tc>
          <w:tcPr>
            <w:tcW w:w="499" w:type="dxa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四</w:t>
            </w:r>
          </w:p>
        </w:tc>
        <w:tc>
          <w:tcPr>
            <w:tcW w:w="499" w:type="dxa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五</w:t>
            </w:r>
          </w:p>
        </w:tc>
        <w:tc>
          <w:tcPr>
            <w:tcW w:w="499" w:type="dxa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六</w:t>
            </w:r>
          </w:p>
        </w:tc>
        <w:tc>
          <w:tcPr>
            <w:tcW w:w="499" w:type="dxa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七</w:t>
            </w:r>
          </w:p>
        </w:tc>
        <w:tc>
          <w:tcPr>
            <w:tcW w:w="499" w:type="dxa"/>
          </w:tcPr>
          <w:p>
            <w:pPr>
              <w:adjustRightInd w:val="0"/>
              <w:snapToGrid w:val="0"/>
              <w:jc w:val="center"/>
              <w:rPr>
                <w:rFonts w:ascii="Garamond" w:hAnsi="Garamond" w:eastAsia="黑体"/>
                <w:spacing w:val="-2"/>
                <w:position w:val="8"/>
                <w:sz w:val="24"/>
              </w:rPr>
            </w:pPr>
            <w:r>
              <w:rPr>
                <w:rFonts w:ascii="Garamond" w:eastAsia="黑体"/>
                <w:sz w:val="24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经济数学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Garamond" w:hAnsi="Garamond"/>
                <w:spacing w:val="-2"/>
                <w:position w:val="8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微观经济学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60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财务会计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货币金融学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60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宏观经济学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ind w:firstLine="109" w:firstLineChars="50"/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国际贸易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国际结算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国际金融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60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金融市场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金融实验与模拟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保险学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 w:cs="宋体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  <w:highlight w:val="yellow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公司金融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60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商业银行理论与实务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证券投资学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60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金融衍生品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公司治理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中国金融专题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45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hint="eastAsia" w:ascii="Garamond" w:hAnsi="Garamond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3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Garamond" w:hAnsi="Garamond"/>
                <w:sz w:val="24"/>
              </w:rPr>
            </w:pPr>
          </w:p>
        </w:tc>
        <w:tc>
          <w:tcPr>
            <w:tcW w:w="34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</w:rPr>
            </w:pPr>
            <w:r>
              <w:rPr>
                <w:rFonts w:hint="eastAsia" w:ascii="宋体" w:hAnsi="宋体"/>
                <w:color w:val="000000"/>
                <w:spacing w:val="4"/>
              </w:rPr>
              <w:t>学位</w:t>
            </w:r>
            <w:r>
              <w:rPr>
                <w:rFonts w:ascii="宋体" w:hAnsi="宋体"/>
                <w:color w:val="000000"/>
                <w:spacing w:val="4"/>
              </w:rPr>
              <w:t>论文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宋体" w:hAnsi="宋体"/>
                <w:color w:val="000000"/>
                <w:spacing w:val="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60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077" w:type="dxa"/>
            <w:gridSpan w:val="2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sz w:val="24"/>
              </w:rPr>
              <w:t>合  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spacing w:val="-2"/>
                <w:position w:val="8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z w:val="24"/>
              </w:rPr>
              <w:t>60</w:t>
            </w:r>
          </w:p>
        </w:tc>
        <w:tc>
          <w:tcPr>
            <w:tcW w:w="656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z w:val="24"/>
              </w:rPr>
              <w:t>900</w:t>
            </w:r>
          </w:p>
        </w:tc>
        <w:tc>
          <w:tcPr>
            <w:tcW w:w="49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pacing w:val="-2"/>
                <w:position w:val="8"/>
                <w:sz w:val="24"/>
              </w:rPr>
              <w:t>10</w:t>
            </w:r>
          </w:p>
        </w:tc>
        <w:tc>
          <w:tcPr>
            <w:tcW w:w="49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pacing w:val="-2"/>
                <w:position w:val="8"/>
                <w:sz w:val="24"/>
              </w:rPr>
              <w:t>10</w:t>
            </w:r>
          </w:p>
        </w:tc>
        <w:tc>
          <w:tcPr>
            <w:tcW w:w="49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pacing w:val="-2"/>
                <w:position w:val="8"/>
                <w:sz w:val="24"/>
              </w:rPr>
              <w:t>10</w:t>
            </w:r>
          </w:p>
        </w:tc>
        <w:tc>
          <w:tcPr>
            <w:tcW w:w="49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pacing w:val="-2"/>
                <w:position w:val="8"/>
                <w:sz w:val="24"/>
              </w:rPr>
              <w:t>10</w:t>
            </w:r>
          </w:p>
        </w:tc>
        <w:tc>
          <w:tcPr>
            <w:tcW w:w="499" w:type="dxa"/>
            <w:vAlign w:val="center"/>
          </w:tcPr>
          <w:p>
            <w:pPr>
              <w:adjustRightInd w:val="0"/>
              <w:snapToGrid w:val="0"/>
              <w:spacing w:before="120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pacing w:val="-2"/>
                <w:position w:val="8"/>
                <w:sz w:val="24"/>
              </w:rPr>
              <w:t>10</w:t>
            </w:r>
          </w:p>
        </w:tc>
        <w:tc>
          <w:tcPr>
            <w:tcW w:w="499" w:type="dxa"/>
            <w:vAlign w:val="center"/>
          </w:tcPr>
          <w:p>
            <w:pPr>
              <w:adjustRightInd w:val="0"/>
              <w:snapToGrid w:val="0"/>
              <w:spacing w:before="120"/>
              <w:jc w:val="center"/>
              <w:rPr>
                <w:rFonts w:ascii="黑体" w:hAnsi="Garamond" w:eastAsia="黑体"/>
                <w:b/>
                <w:bCs/>
                <w:spacing w:val="-2"/>
                <w:position w:val="8"/>
                <w:sz w:val="24"/>
              </w:rPr>
            </w:pPr>
            <w:r>
              <w:rPr>
                <w:rFonts w:hint="eastAsia" w:ascii="黑体" w:hAnsi="Garamond" w:eastAsia="黑体"/>
                <w:b/>
                <w:bCs/>
                <w:spacing w:val="-2"/>
                <w:position w:val="8"/>
                <w:sz w:val="24"/>
              </w:rPr>
              <w:t>10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Garamond">
    <w:altName w:val="Adobe Garamond Pro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dobe Garamond Pro">
    <w:panose1 w:val="02020502060506020403"/>
    <w:charset w:val="00"/>
    <w:family w:val="roman"/>
    <w:pitch w:val="default"/>
    <w:sig w:usb0="00000007" w:usb1="00000001" w:usb2="00000000" w:usb3="00000000" w:csb0="2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dobe Garamond Pro">
    <w:panose1 w:val="02020502060506020403"/>
    <w:charset w:val="00"/>
    <w:family w:val="roman"/>
    <w:pitch w:val="default"/>
    <w:sig w:usb0="00000007" w:usb1="00000001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75539576">
    <w:nsid w:val="6FCA7678"/>
    <w:multiLevelType w:val="multilevel"/>
    <w:tmpl w:val="6FCA7678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755395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33B12"/>
    <w:rsid w:val="72E33B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2016-05-14T03:27:00Z</dcterms:created>
  <dc:creator>毅</dc:creator>
  <cp:lastModifiedBy>毅</cp:lastModifiedBy>
  <dcterms:modified xsi:type="dcterms:W3CDTF">2016-05-14T03:28:07Z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